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F764C0">
        <w:rPr>
          <w:sz w:val="28"/>
        </w:rPr>
        <w:t>Tropfender Wasserhahn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F764C0" w:rsidTr="00F764C0">
        <w:tc>
          <w:tcPr>
            <w:tcW w:w="2466" w:type="dxa"/>
            <w:tcBorders>
              <w:top w:val="single" w:sz="4" w:space="0" w:color="auto"/>
            </w:tcBorders>
            <w:vAlign w:val="center"/>
          </w:tcPr>
          <w:p w:rsidR="00F764C0" w:rsidRDefault="00F764C0" w:rsidP="00430685">
            <w:pPr>
              <w:pStyle w:val="IQB-Merkmal"/>
            </w:pPr>
            <w:r>
              <w:t>Leitidee</w:t>
            </w:r>
          </w:p>
        </w:tc>
        <w:tc>
          <w:tcPr>
            <w:tcW w:w="6604" w:type="dxa"/>
            <w:tcBorders>
              <w:top w:val="single" w:sz="4" w:space="0" w:color="auto"/>
            </w:tcBorders>
          </w:tcPr>
          <w:p w:rsidR="00F764C0" w:rsidRDefault="00F764C0" w:rsidP="00430685">
            <w:pPr>
              <w:pStyle w:val="IQB-Merkmalswert"/>
            </w:pPr>
            <w:r>
              <w:t>4. Funktionaler Zusammenhang</w:t>
            </w:r>
          </w:p>
        </w:tc>
      </w:tr>
      <w:tr w:rsidR="00F764C0" w:rsidTr="00F764C0">
        <w:tc>
          <w:tcPr>
            <w:tcW w:w="2466" w:type="dxa"/>
            <w:vAlign w:val="center"/>
          </w:tcPr>
          <w:p w:rsidR="00F764C0" w:rsidRDefault="00F764C0" w:rsidP="00430685">
            <w:pPr>
              <w:pStyle w:val="IQB-Merkmal"/>
            </w:pPr>
            <w:r>
              <w:t>Allgemeine Kompetenz</w:t>
            </w:r>
          </w:p>
        </w:tc>
        <w:tc>
          <w:tcPr>
            <w:tcW w:w="6604" w:type="dxa"/>
          </w:tcPr>
          <w:p w:rsidR="00F764C0" w:rsidRDefault="00F764C0" w:rsidP="00430685">
            <w:pPr>
              <w:pStyle w:val="IQB-Merkmalswert"/>
            </w:pPr>
            <w:r w:rsidRPr="004550BA">
              <w:t>Mathematisches Modellieren (K3)</w:t>
            </w:r>
            <w:r>
              <w:t>,</w:t>
            </w:r>
          </w:p>
          <w:p w:rsidR="00F764C0" w:rsidRDefault="00F764C0" w:rsidP="00430685">
            <w:pPr>
              <w:pStyle w:val="IQB-Merkmalswert"/>
            </w:pPr>
            <w:r w:rsidRPr="004550BA">
              <w:t>Mathematisch kommunizieren (K6)</w:t>
            </w:r>
          </w:p>
        </w:tc>
      </w:tr>
      <w:tr w:rsidR="00F764C0" w:rsidTr="00F764C0">
        <w:tc>
          <w:tcPr>
            <w:tcW w:w="2466" w:type="dxa"/>
            <w:vAlign w:val="center"/>
          </w:tcPr>
          <w:p w:rsidR="00F764C0" w:rsidRDefault="00F764C0" w:rsidP="00430685">
            <w:pPr>
              <w:pStyle w:val="IQB-Merkmal"/>
            </w:pPr>
            <w:r>
              <w:t>Anforderungsbereich</w:t>
            </w:r>
          </w:p>
        </w:tc>
        <w:tc>
          <w:tcPr>
            <w:tcW w:w="6604" w:type="dxa"/>
          </w:tcPr>
          <w:p w:rsidR="00F764C0" w:rsidRDefault="00F764C0" w:rsidP="00430685">
            <w:pPr>
              <w:pStyle w:val="IQB-Merkmalswert"/>
            </w:pPr>
            <w:r>
              <w:t>I</w:t>
            </w:r>
          </w:p>
        </w:tc>
      </w:tr>
      <w:tr w:rsidR="00F764C0" w:rsidTr="00F764C0">
        <w:tc>
          <w:tcPr>
            <w:tcW w:w="2466" w:type="dxa"/>
            <w:tcBorders>
              <w:bottom w:val="single" w:sz="4" w:space="0" w:color="auto"/>
            </w:tcBorders>
            <w:vAlign w:val="center"/>
          </w:tcPr>
          <w:p w:rsidR="00F764C0" w:rsidRDefault="00F764C0" w:rsidP="00430685">
            <w:pPr>
              <w:pStyle w:val="IQB-Merkmal"/>
            </w:pPr>
            <w:r>
              <w:t>Kompetenzstufe</w:t>
            </w:r>
          </w:p>
        </w:tc>
        <w:tc>
          <w:tcPr>
            <w:tcW w:w="6604" w:type="dxa"/>
            <w:tcBorders>
              <w:bottom w:val="single" w:sz="4" w:space="0" w:color="auto"/>
            </w:tcBorders>
          </w:tcPr>
          <w:p w:rsidR="00F764C0" w:rsidRDefault="00F764C0" w:rsidP="00430685">
            <w:pPr>
              <w:pStyle w:val="IQB-Merkmalswert"/>
            </w:pPr>
            <w:r>
              <w:t>1a</w:t>
            </w:r>
          </w:p>
        </w:tc>
      </w:tr>
    </w:tbl>
    <w:p w:rsidR="00F764C0" w:rsidRPr="00694A63" w:rsidRDefault="00F764C0" w:rsidP="00F764C0">
      <w:pPr>
        <w:pStyle w:val="IQB-Teilaufgabentitel"/>
        <w:rPr>
          <w:b/>
        </w:rPr>
      </w:pPr>
      <w:r w:rsidRPr="00694A63">
        <w:rPr>
          <w:b/>
        </w:rPr>
        <w:t>Merkmal</w:t>
      </w:r>
      <w:r>
        <w:rPr>
          <w:b/>
        </w:rPr>
        <w:t xml:space="preserve">e der Teilaufgabe </w:t>
      </w:r>
      <w:r>
        <w:rPr>
          <w:b/>
        </w:rPr>
        <w:t>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F764C0" w:rsidTr="00F764C0">
        <w:tc>
          <w:tcPr>
            <w:tcW w:w="2466" w:type="dxa"/>
            <w:tcBorders>
              <w:top w:val="single" w:sz="4" w:space="0" w:color="auto"/>
            </w:tcBorders>
            <w:vAlign w:val="center"/>
          </w:tcPr>
          <w:p w:rsidR="00F764C0" w:rsidRDefault="00F764C0" w:rsidP="00430685">
            <w:pPr>
              <w:pStyle w:val="IQB-Merkmal"/>
            </w:pPr>
            <w:r>
              <w:t>Leitidee</w:t>
            </w:r>
          </w:p>
        </w:tc>
        <w:tc>
          <w:tcPr>
            <w:tcW w:w="6604" w:type="dxa"/>
            <w:tcBorders>
              <w:top w:val="single" w:sz="4" w:space="0" w:color="auto"/>
            </w:tcBorders>
          </w:tcPr>
          <w:p w:rsidR="00F764C0" w:rsidRDefault="00F764C0" w:rsidP="00430685">
            <w:pPr>
              <w:pStyle w:val="IQB-Merkmalswert"/>
            </w:pPr>
            <w:r>
              <w:t>4. Funktionaler Zusammenhang</w:t>
            </w:r>
          </w:p>
        </w:tc>
      </w:tr>
      <w:tr w:rsidR="00F764C0" w:rsidTr="00F764C0">
        <w:tc>
          <w:tcPr>
            <w:tcW w:w="2466" w:type="dxa"/>
            <w:vAlign w:val="center"/>
          </w:tcPr>
          <w:p w:rsidR="00F764C0" w:rsidRDefault="00F764C0" w:rsidP="00430685">
            <w:pPr>
              <w:pStyle w:val="IQB-Merkmal"/>
            </w:pPr>
            <w:r>
              <w:t>Allgemeine Kompetenz</w:t>
            </w:r>
          </w:p>
        </w:tc>
        <w:tc>
          <w:tcPr>
            <w:tcW w:w="6604" w:type="dxa"/>
          </w:tcPr>
          <w:p w:rsidR="00F764C0" w:rsidRDefault="00F764C0" w:rsidP="00430685">
            <w:pPr>
              <w:pStyle w:val="IQB-Merkmalswert"/>
            </w:pPr>
            <w:r>
              <w:t>Mathematisches Modellieren (K3),</w:t>
            </w:r>
          </w:p>
          <w:p w:rsidR="00F764C0" w:rsidRDefault="00F764C0" w:rsidP="00430685">
            <w:pPr>
              <w:pStyle w:val="IQB-Merkmalswert"/>
            </w:pPr>
            <w:r w:rsidRPr="004550BA">
              <w:t>Mathematische Darstellungen verwenden (K4)</w:t>
            </w:r>
          </w:p>
        </w:tc>
      </w:tr>
      <w:tr w:rsidR="00F764C0" w:rsidTr="00F764C0">
        <w:tc>
          <w:tcPr>
            <w:tcW w:w="2466" w:type="dxa"/>
            <w:vAlign w:val="center"/>
          </w:tcPr>
          <w:p w:rsidR="00F764C0" w:rsidRDefault="00F764C0" w:rsidP="00430685">
            <w:pPr>
              <w:pStyle w:val="IQB-Merkmal"/>
            </w:pPr>
            <w:r>
              <w:t>Anforderungsbereich</w:t>
            </w:r>
          </w:p>
        </w:tc>
        <w:tc>
          <w:tcPr>
            <w:tcW w:w="6604" w:type="dxa"/>
          </w:tcPr>
          <w:p w:rsidR="00F764C0" w:rsidRDefault="00F764C0" w:rsidP="00430685">
            <w:pPr>
              <w:pStyle w:val="IQB-Merkmalswert"/>
            </w:pPr>
            <w:r>
              <w:t>II</w:t>
            </w:r>
          </w:p>
        </w:tc>
      </w:tr>
      <w:tr w:rsidR="00F764C0" w:rsidTr="00F764C0">
        <w:tc>
          <w:tcPr>
            <w:tcW w:w="2466" w:type="dxa"/>
            <w:tcBorders>
              <w:bottom w:val="single" w:sz="4" w:space="0" w:color="auto"/>
            </w:tcBorders>
            <w:vAlign w:val="center"/>
          </w:tcPr>
          <w:p w:rsidR="00F764C0" w:rsidRDefault="00F764C0" w:rsidP="00430685">
            <w:pPr>
              <w:pStyle w:val="IQB-Merkmal"/>
            </w:pPr>
            <w:r>
              <w:t>Kompetenzstufe</w:t>
            </w:r>
          </w:p>
        </w:tc>
        <w:tc>
          <w:tcPr>
            <w:tcW w:w="6604" w:type="dxa"/>
            <w:tcBorders>
              <w:bottom w:val="single" w:sz="4" w:space="0" w:color="auto"/>
            </w:tcBorders>
          </w:tcPr>
          <w:p w:rsidR="00F764C0" w:rsidRDefault="00F764C0" w:rsidP="00430685">
            <w:pPr>
              <w:pStyle w:val="IQB-Merkmalswert"/>
            </w:pPr>
            <w:r>
              <w:t>2</w:t>
            </w:r>
          </w:p>
        </w:tc>
      </w:tr>
    </w:tbl>
    <w:p w:rsidR="00694A63" w:rsidRPr="00694A63" w:rsidRDefault="00694A63" w:rsidP="00694A63">
      <w:pPr>
        <w:pStyle w:val="IQB-Teilaufgabentitel"/>
        <w:rPr>
          <w:b/>
        </w:rPr>
      </w:pPr>
      <w:r w:rsidRPr="00694A63">
        <w:rPr>
          <w:b/>
        </w:rPr>
        <w:t>Aufgabenbezogener Kommentar</w:t>
      </w:r>
    </w:p>
    <w:p w:rsidR="00F764C0" w:rsidRPr="00D91C6C" w:rsidRDefault="00F764C0" w:rsidP="00F764C0">
      <w:pPr>
        <w:pStyle w:val="IQB-Standard"/>
        <w:rPr>
          <w:sz w:val="22"/>
          <w:szCs w:val="22"/>
        </w:rPr>
      </w:pPr>
      <w:r w:rsidRPr="00D91C6C">
        <w:rPr>
          <w:sz w:val="22"/>
          <w:szCs w:val="22"/>
        </w:rPr>
        <w:t>In beiden Teilaufgaben geht es um den Funktionalen Zusammenhang zwischen vergangener Zeit nach Beginn der Beobachtung eines tropfenden Wasserhahns und einer Menge Tropfwasser, die in dieser Zeit gesammelt wurde. Die Aufgabe wird daher der Leitidee Funktionaler Zusammenhang (L4) zugeordnet.</w:t>
      </w:r>
    </w:p>
    <w:p w:rsidR="00F764C0" w:rsidRPr="00D91C6C" w:rsidRDefault="00F764C0" w:rsidP="00F764C0">
      <w:pPr>
        <w:pStyle w:val="IQB-Standard"/>
        <w:rPr>
          <w:sz w:val="22"/>
          <w:szCs w:val="22"/>
        </w:rPr>
      </w:pPr>
      <w:r w:rsidRPr="00D91C6C">
        <w:rPr>
          <w:sz w:val="22"/>
          <w:szCs w:val="22"/>
        </w:rPr>
        <w:t>Beide Teilaufgaben verlangen die mathematische Beschreibung der im Aufgabentext geschilderten Realsituation (K3). In der ersten Teilaufgabe soll mithilfe der angegebenen Messwerte ermittelt werden, wie viel Wasser nach zwei Stunden im Messbecher war. Aus der im Aufgabentext gegebenen Information, dass das Wasser gleichmäßig aus dem Wasserhahn tropft, kann gefolgert werden, dass es sich hier um proportionales Wachstum handelt (K6). Die gesuchte Wassermenge lässt sich also bestimmen, indem die Werte in der ersten Spalte der Wertetabelle direkt mit 4 oder zweimal hintereinander mit 2 multipliziert oder die Werte in der zweiten Spalte durch 2 dividiert werden. In der zweiten Teilaufgabe soll der Graph ausgewählt werden, der die proportionale Zuordnung am besten beschreibt (K4).</w:t>
      </w:r>
    </w:p>
    <w:p w:rsidR="00F764C0" w:rsidRPr="00D91C6C" w:rsidRDefault="00F764C0" w:rsidP="00F764C0">
      <w:pPr>
        <w:pStyle w:val="IQB-Standard"/>
        <w:rPr>
          <w:sz w:val="22"/>
          <w:szCs w:val="22"/>
        </w:rPr>
      </w:pPr>
      <w:r w:rsidRPr="00D91C6C">
        <w:rPr>
          <w:sz w:val="22"/>
          <w:szCs w:val="22"/>
        </w:rPr>
        <w:t>Die Teilaufgabe 1 wird Anforderungsbereich I zugeordnet, weil sich das passende mathematische Modell mithilfe der Informationen im Aufgabentext leicht bestimmen lässt und der gesuchte Wert dann mit einem einfachen Routineverfahren berechnet werden kann. In Teilaufgabe 2 muss ein Wechsel der Darstellungsform durchgeführt werden, weshalb sie zu Anforderungsbereich II gehört.</w:t>
      </w:r>
    </w:p>
    <w:p w:rsidR="00694A63" w:rsidRPr="00694A63" w:rsidRDefault="00694A63" w:rsidP="00694A63">
      <w:pPr>
        <w:pStyle w:val="IQB-Teilaufgabentitel"/>
        <w:rPr>
          <w:b/>
        </w:rPr>
      </w:pPr>
      <w:r w:rsidRPr="00694A63">
        <w:rPr>
          <w:b/>
        </w:rPr>
        <w:t>Anregungen für den Unterricht</w:t>
      </w:r>
    </w:p>
    <w:p w:rsidR="00F764C0" w:rsidRPr="00F764C0" w:rsidRDefault="00F764C0" w:rsidP="00F764C0">
      <w:pPr>
        <w:spacing w:before="60"/>
        <w:rPr>
          <w:rFonts w:ascii="Arial" w:hAnsi="Arial" w:cs="Arial"/>
          <w:sz w:val="22"/>
          <w:szCs w:val="22"/>
        </w:rPr>
      </w:pPr>
      <w:r w:rsidRPr="00F764C0">
        <w:rPr>
          <w:rFonts w:ascii="Arial" w:hAnsi="Arial" w:cs="Arial"/>
          <w:sz w:val="22"/>
          <w:szCs w:val="22"/>
        </w:rPr>
        <w:t>Teilaufgabe 2 illustriert, wie eine Aufgabe zu funktionalen Zusammenhängen ohne auf Rechnungen zurückgreifen zu müssen direkt auf das Verständnis von Schülerinnen und Schülern abzielt. Schülerinnen und Schüler werden hier aufgefordert, die eigentlich zugrundeliegenden funktionalen Zusammenhänge in Form von Texten oder Zeichnungen zu beschreiben. Insbesondere für Schülerinnen und Schüler, die bisher eher mit formalen und technischen Aspekte (Bestimmen von Achsenschnittpunkten, Funktionswerten usw.) bei funktionalen Zusammenhänge zu tun hatten, sind solche Aufgaben verständnisfördernd. Es hat den Anschein, dass im Mathematikunterricht funktionale Zusammenhänge sehr häufig hinsichtlich der damit verbundenen formal-technischen Rechnungen (Bestimmen von Achsenschnittpunkten, Funktionswerten usw.) betrachtet werden. Deutlich seltener sind jedoch die Schülerinnen und Schüler aufgefordert, die eigentlich zugrundeliegenden funktionalen Zusammenhänge in Form von Texten oder Zeichnungen zu beschreiben. So kann es vorkommen, dass ein Lernender zwar die geforderten Rechnungen formal korrekt ausführt und auch in wenigen, überschaubaren Sachzusammenhängen (Stichwort „Handyaufgaben“) anwenden kann, funktionale Zusammenhänge jedoch nicht adäquat (z.</w:t>
      </w:r>
      <w:r w:rsidRPr="00F764C0">
        <w:rPr>
          <w:rFonts w:ascii="Arial" w:hAnsi="Arial" w:cs="Arial"/>
          <w:sz w:val="11"/>
          <w:szCs w:val="11"/>
        </w:rPr>
        <w:t> </w:t>
      </w:r>
      <w:r w:rsidRPr="00F764C0">
        <w:rPr>
          <w:rFonts w:ascii="Arial" w:hAnsi="Arial" w:cs="Arial"/>
          <w:sz w:val="22"/>
          <w:szCs w:val="22"/>
        </w:rPr>
        <w:t>B. mit einem Funktionsgraphen) beschrieben werden.</w:t>
      </w:r>
    </w:p>
    <w:p w:rsidR="00F764C0" w:rsidRPr="00F764C0" w:rsidRDefault="00F764C0" w:rsidP="00F764C0">
      <w:pPr>
        <w:spacing w:before="60"/>
        <w:rPr>
          <w:rFonts w:ascii="Arial" w:hAnsi="Arial" w:cs="Arial"/>
          <w:sz w:val="22"/>
          <w:szCs w:val="22"/>
        </w:rPr>
      </w:pPr>
      <w:r w:rsidRPr="00F764C0">
        <w:rPr>
          <w:rFonts w:ascii="Arial" w:hAnsi="Arial" w:cs="Arial"/>
          <w:sz w:val="22"/>
          <w:szCs w:val="22"/>
        </w:rPr>
        <w:t xml:space="preserve">Daher sollten an verschiedenen Stellen in unterschiedlichen Jahrgangsstufen Beziehungen zwischen verschiedenen Darstellungen funktionaler Zusammenhänge (Wertetabelle, Gleichung, </w:t>
      </w:r>
      <w:r w:rsidRPr="00F764C0">
        <w:rPr>
          <w:rFonts w:ascii="Arial" w:hAnsi="Arial" w:cs="Arial"/>
          <w:sz w:val="22"/>
          <w:szCs w:val="22"/>
        </w:rPr>
        <w:lastRenderedPageBreak/>
        <w:t>Graph, Wortvorschrift) hergestellt werden, die einen wesentlichen Teil des Begriffsverständnisses zu funktionalen Zusammenhängen darstellen. Lernaufgaben können beispielsweise so aussehen, dass Schülerinnen und Schüler zu einer in einem Text geschilderten Situation einen Graphen skizzieren oder, umgekehrt, zu einem Graphen eine Geschichte entwickeln. Zur Überprüfung, z.</w:t>
      </w:r>
      <w:r w:rsidRPr="00F764C0">
        <w:rPr>
          <w:rFonts w:ascii="Arial" w:hAnsi="Arial" w:cs="Arial"/>
          <w:sz w:val="11"/>
          <w:szCs w:val="11"/>
        </w:rPr>
        <w:t xml:space="preserve"> </w:t>
      </w:r>
      <w:r w:rsidRPr="00F764C0">
        <w:rPr>
          <w:rFonts w:ascii="Arial" w:hAnsi="Arial" w:cs="Arial"/>
          <w:sz w:val="22"/>
          <w:szCs w:val="22"/>
        </w:rPr>
        <w:t>B. in Klassenarbeiten, können Aufgaben wie Teilaufgabe 2 mit geschlossenen Antwortformaten verwendet werden. In höheren Jahrgangsstufen können dann die Aufgaben auch durch verschiedene Funktionstypen bereichert werden.</w:t>
      </w:r>
    </w:p>
    <w:p w:rsidR="00F764C0" w:rsidRPr="00F764C0" w:rsidRDefault="00F764C0" w:rsidP="00F764C0">
      <w:pPr>
        <w:spacing w:before="60"/>
        <w:rPr>
          <w:rFonts w:ascii="Arial" w:hAnsi="Arial" w:cs="Arial"/>
          <w:sz w:val="22"/>
          <w:szCs w:val="22"/>
        </w:rPr>
      </w:pPr>
      <w:r w:rsidRPr="00F764C0">
        <w:rPr>
          <w:rFonts w:ascii="Arial" w:hAnsi="Arial" w:cs="Arial"/>
          <w:sz w:val="22"/>
          <w:szCs w:val="22"/>
        </w:rPr>
        <w:t>Gerade wenn im Unterrichtsverlauf vorrangig nur ein bestimmter (z.</w:t>
      </w:r>
      <w:r w:rsidRPr="00F764C0">
        <w:rPr>
          <w:rFonts w:ascii="Arial" w:hAnsi="Arial" w:cs="Arial"/>
          <w:sz w:val="11"/>
          <w:szCs w:val="11"/>
        </w:rPr>
        <w:t xml:space="preserve"> </w:t>
      </w:r>
      <w:r w:rsidRPr="00F764C0">
        <w:rPr>
          <w:rFonts w:ascii="Arial" w:hAnsi="Arial" w:cs="Arial"/>
          <w:sz w:val="22"/>
          <w:szCs w:val="22"/>
        </w:rPr>
        <w:t>B. proportionaler) Zusammenhang zwischen zwei Mengen betrachtet wird, bietet es sich an, hin und wieder solche Aufgaben zu stellen und dabei auch abweichende funktionale Zusammenhänge zu thematisieren. So könnte man beispielsweise auch Situationen zu antiproportionalen oder in keiner Weise proportionalen Zusammenhängen konstruieren und von den Schülerinnen und Schülern in einem Koordinatensystem skizzieren lassen.</w:t>
      </w:r>
    </w:p>
    <w:p w:rsidR="00F764C0" w:rsidRPr="00F764C0" w:rsidRDefault="00F764C0" w:rsidP="00F764C0">
      <w:pPr>
        <w:spacing w:before="60"/>
        <w:rPr>
          <w:rFonts w:ascii="Arial" w:hAnsi="Arial" w:cs="Arial"/>
          <w:sz w:val="22"/>
          <w:szCs w:val="22"/>
        </w:rPr>
      </w:pPr>
      <w:r w:rsidRPr="00F764C0">
        <w:rPr>
          <w:rFonts w:ascii="Arial" w:hAnsi="Arial" w:cs="Arial"/>
          <w:noProof/>
        </w:rPr>
        <mc:AlternateContent>
          <mc:Choice Requires="wps">
            <w:drawing>
              <wp:anchor distT="0" distB="0" distL="114299" distR="114299" simplePos="0" relativeHeight="251659264" behindDoc="0" locked="0" layoutInCell="1" allowOverlap="1">
                <wp:simplePos x="0" y="0"/>
                <wp:positionH relativeFrom="column">
                  <wp:posOffset>-79375</wp:posOffset>
                </wp:positionH>
                <wp:positionV relativeFrom="paragraph">
                  <wp:posOffset>226533</wp:posOffset>
                </wp:positionV>
                <wp:extent cx="17780" cy="2985135"/>
                <wp:effectExtent l="19050" t="0" r="39370" b="43815"/>
                <wp:wrapNone/>
                <wp:docPr id="144" name="Freihandform: Form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780" cy="2985135"/>
                        </a:xfrm>
                        <a:custGeom>
                          <a:avLst/>
                          <a:gdLst>
                            <a:gd name="T0" fmla="*/ 28 w 28"/>
                            <a:gd name="T1" fmla="*/ 0 h 4701"/>
                            <a:gd name="T2" fmla="*/ 0 w 28"/>
                            <a:gd name="T3" fmla="*/ 4701 h 4701"/>
                          </a:gdLst>
                          <a:ahLst/>
                          <a:cxnLst>
                            <a:cxn ang="0">
                              <a:pos x="T0" y="T1"/>
                            </a:cxn>
                            <a:cxn ang="0">
                              <a:pos x="T2" y="T3"/>
                            </a:cxn>
                          </a:cxnLst>
                          <a:rect l="0" t="0" r="r" b="b"/>
                          <a:pathLst>
                            <a:path w="28" h="4701">
                              <a:moveTo>
                                <a:pt x="28" y="0"/>
                              </a:moveTo>
                              <a:lnTo>
                                <a:pt x="0" y="4701"/>
                              </a:lnTo>
                            </a:path>
                          </a:pathLst>
                        </a:custGeom>
                        <a:noFill/>
                        <a:ln w="57150">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DEA7356" id="Freihandform: Form 144"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4.85pt,17.85pt,-6.25pt,252.9pt" coordsize="28,47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" filled="f" strokecolor="#bfbfbf" strokeweight="4.5pt">
                <v:path arrowok="t" o:connecttype="custom" o:connectlocs="17780,0;0,2985135" o:connectangles="0,0"/>
              </v:polylin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6"/>
      </w:tblGrid>
      <w:tr w:rsidR="00F764C0" w:rsidRPr="00F764C0" w:rsidTr="00430685">
        <w:tc>
          <w:tcPr>
            <w:tcW w:w="9286" w:type="dxa"/>
          </w:tcPr>
          <w:p w:rsidR="00F764C0" w:rsidRDefault="00F764C0" w:rsidP="00F764C0">
            <w:pPr>
              <w:spacing w:before="60"/>
              <w:rPr>
                <w:rFonts w:ascii="Arial" w:hAnsi="Arial" w:cs="Arial"/>
                <w:b/>
                <w:sz w:val="22"/>
                <w:szCs w:val="22"/>
              </w:rPr>
            </w:pPr>
            <w:r w:rsidRPr="00F764C0">
              <w:rPr>
                <w:rFonts w:ascii="Arial" w:hAnsi="Arial" w:cs="Arial"/>
                <w:b/>
                <w:sz w:val="22"/>
                <w:szCs w:val="22"/>
              </w:rPr>
              <w:t>Aufgabe</w:t>
            </w:r>
          </w:p>
          <w:p w:rsidR="00F764C0" w:rsidRPr="00F764C0" w:rsidRDefault="00F764C0" w:rsidP="00F764C0">
            <w:pPr>
              <w:spacing w:before="60"/>
              <w:rPr>
                <w:rFonts w:ascii="Arial" w:hAnsi="Arial" w:cs="Arial"/>
                <w:b/>
                <w:sz w:val="22"/>
                <w:szCs w:val="22"/>
              </w:rPr>
            </w:pPr>
          </w:p>
          <w:p w:rsidR="00F764C0" w:rsidRPr="00F764C0" w:rsidRDefault="00F764C0" w:rsidP="00F764C0">
            <w:pPr>
              <w:spacing w:before="60"/>
              <w:rPr>
                <w:rFonts w:ascii="Arial" w:hAnsi="Arial" w:cs="Arial"/>
                <w:sz w:val="22"/>
                <w:szCs w:val="22"/>
              </w:rPr>
            </w:pPr>
            <w:r w:rsidRPr="00F764C0">
              <w:rPr>
                <w:rFonts w:ascii="Arial" w:hAnsi="Arial" w:cs="Arial"/>
                <w:sz w:val="22"/>
                <w:szCs w:val="22"/>
              </w:rPr>
              <w:t>Ordne folgende Diagramme den Aussagen a bis c zu.</w:t>
            </w:r>
          </w:p>
          <w:p w:rsidR="00F764C0" w:rsidRPr="00F764C0" w:rsidRDefault="00F764C0" w:rsidP="00F764C0">
            <w:pPr>
              <w:spacing w:before="60"/>
              <w:rPr>
                <w:rFonts w:ascii="Arial" w:hAnsi="Arial" w:cs="Arial"/>
                <w:sz w:val="22"/>
                <w:szCs w:val="22"/>
              </w:rPr>
            </w:pPr>
            <w:r w:rsidRPr="00F764C0">
              <w:rPr>
                <w:rFonts w:ascii="Arial" w:hAnsi="Arial" w:cs="Arial"/>
                <w:sz w:val="22"/>
                <w:szCs w:val="22"/>
              </w:rPr>
              <w:t xml:space="preserve">   </w:t>
            </w:r>
          </w:p>
          <w:p w:rsidR="00F764C0" w:rsidRPr="00F764C0" w:rsidRDefault="00F764C0" w:rsidP="00F764C0">
            <w:pPr>
              <w:spacing w:before="60"/>
              <w:rPr>
                <w:rFonts w:ascii="Arial" w:hAnsi="Arial" w:cs="Arial"/>
                <w:sz w:val="22"/>
                <w:szCs w:val="22"/>
              </w:rPr>
            </w:pPr>
            <w:r w:rsidRPr="00F764C0">
              <w:rPr>
                <w:rFonts w:ascii="Arial" w:hAnsi="Arial" w:cs="Arial"/>
                <w:noProof/>
              </w:rPr>
              <w:drawing>
                <wp:inline distT="0" distB="0" distL="0" distR="0">
                  <wp:extent cx="1786255" cy="1062990"/>
                  <wp:effectExtent l="0" t="0" r="4445" b="381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86255" cy="1062990"/>
                          </a:xfrm>
                          <a:prstGeom prst="rect">
                            <a:avLst/>
                          </a:prstGeom>
                          <a:noFill/>
                          <a:ln>
                            <a:noFill/>
                          </a:ln>
                        </pic:spPr>
                      </pic:pic>
                    </a:graphicData>
                  </a:graphic>
                </wp:inline>
              </w:drawing>
            </w:r>
            <w:r w:rsidRPr="00F764C0">
              <w:rPr>
                <w:rFonts w:ascii="Arial" w:hAnsi="Arial" w:cs="Arial"/>
                <w:sz w:val="22"/>
                <w:szCs w:val="22"/>
              </w:rPr>
              <w:t xml:space="preserve"> </w:t>
            </w:r>
            <w:r w:rsidRPr="00F764C0">
              <w:rPr>
                <w:rFonts w:ascii="Arial" w:hAnsi="Arial" w:cs="Arial"/>
                <w:noProof/>
              </w:rPr>
              <w:drawing>
                <wp:inline distT="0" distB="0" distL="0" distR="0">
                  <wp:extent cx="1775460" cy="1084580"/>
                  <wp:effectExtent l="0" t="0" r="0" b="127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75460" cy="1084580"/>
                          </a:xfrm>
                          <a:prstGeom prst="rect">
                            <a:avLst/>
                          </a:prstGeom>
                          <a:noFill/>
                          <a:ln>
                            <a:noFill/>
                          </a:ln>
                        </pic:spPr>
                      </pic:pic>
                    </a:graphicData>
                  </a:graphic>
                </wp:inline>
              </w:drawing>
            </w:r>
            <w:r w:rsidRPr="00F764C0">
              <w:rPr>
                <w:rFonts w:ascii="Arial" w:hAnsi="Arial" w:cs="Arial"/>
                <w:sz w:val="22"/>
                <w:szCs w:val="22"/>
              </w:rPr>
              <w:t xml:space="preserve"> </w:t>
            </w:r>
            <w:r w:rsidRPr="00F764C0">
              <w:rPr>
                <w:rFonts w:ascii="Arial" w:hAnsi="Arial" w:cs="Arial"/>
                <w:noProof/>
              </w:rPr>
              <w:drawing>
                <wp:inline distT="0" distB="0" distL="0" distR="0">
                  <wp:extent cx="1786255" cy="1084580"/>
                  <wp:effectExtent l="0" t="0" r="4445" b="127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86255" cy="1084580"/>
                          </a:xfrm>
                          <a:prstGeom prst="rect">
                            <a:avLst/>
                          </a:prstGeom>
                          <a:noFill/>
                          <a:ln>
                            <a:noFill/>
                          </a:ln>
                        </pic:spPr>
                      </pic:pic>
                    </a:graphicData>
                  </a:graphic>
                </wp:inline>
              </w:drawing>
            </w:r>
          </w:p>
          <w:p w:rsidR="00F764C0" w:rsidRPr="00F764C0" w:rsidRDefault="00F764C0" w:rsidP="00F764C0">
            <w:pPr>
              <w:pStyle w:val="Listenabsatz"/>
              <w:numPr>
                <w:ilvl w:val="0"/>
                <w:numId w:val="10"/>
              </w:numPr>
              <w:spacing w:before="60"/>
              <w:ind w:left="697" w:hanging="357"/>
              <w:rPr>
                <w:rFonts w:cs="Arial"/>
                <w:sz w:val="22"/>
                <w:szCs w:val="22"/>
              </w:rPr>
            </w:pPr>
            <w:r w:rsidRPr="00F764C0">
              <w:rPr>
                <w:rFonts w:cs="Arial"/>
                <w:sz w:val="22"/>
                <w:szCs w:val="22"/>
              </w:rPr>
              <w:t>Ronja absolviert einen Langstreckenlauf und läuft dabei mal schneller und mal langsamer.</w:t>
            </w:r>
          </w:p>
          <w:p w:rsidR="00F764C0" w:rsidRPr="00F764C0" w:rsidRDefault="00F764C0" w:rsidP="00F764C0">
            <w:pPr>
              <w:pStyle w:val="Listenabsatz"/>
              <w:numPr>
                <w:ilvl w:val="0"/>
                <w:numId w:val="10"/>
              </w:numPr>
              <w:spacing w:before="60"/>
              <w:ind w:left="697" w:hanging="357"/>
              <w:rPr>
                <w:rFonts w:cs="Arial"/>
                <w:sz w:val="22"/>
                <w:szCs w:val="22"/>
              </w:rPr>
            </w:pPr>
            <w:r w:rsidRPr="00F764C0">
              <w:rPr>
                <w:rFonts w:cs="Arial"/>
                <w:sz w:val="22"/>
                <w:szCs w:val="22"/>
              </w:rPr>
              <w:t>Uwe macht auf dem Weg zur Schule bei einem Bäcker halt, um ein Brötchen zu kaufen. Er muss kurz warten, bis er an der Reihe ist.</w:t>
            </w:r>
          </w:p>
          <w:p w:rsidR="00F764C0" w:rsidRDefault="00F764C0" w:rsidP="00F764C0">
            <w:pPr>
              <w:pStyle w:val="Listenabsatz"/>
              <w:numPr>
                <w:ilvl w:val="0"/>
                <w:numId w:val="10"/>
              </w:numPr>
              <w:spacing w:before="60"/>
              <w:ind w:left="697" w:hanging="357"/>
              <w:rPr>
                <w:rFonts w:cs="Arial"/>
                <w:sz w:val="22"/>
                <w:szCs w:val="22"/>
              </w:rPr>
            </w:pPr>
            <w:r w:rsidRPr="00F764C0">
              <w:rPr>
                <w:rFonts w:cs="Arial"/>
                <w:sz w:val="22"/>
                <w:szCs w:val="22"/>
              </w:rPr>
              <w:t xml:space="preserve">Hannes schießt einen Fußball fast </w:t>
            </w:r>
            <w:smartTag w:uri="urn:schemas-microsoft-com:office:smarttags" w:element="metricconverter">
              <w:smartTagPr>
                <w:attr w:name="ProductID" w:val="30 m"/>
              </w:smartTagPr>
              <w:r w:rsidRPr="00F764C0">
                <w:rPr>
                  <w:rFonts w:cs="Arial"/>
                  <w:sz w:val="22"/>
                  <w:szCs w:val="22"/>
                </w:rPr>
                <w:t>30 m</w:t>
              </w:r>
            </w:smartTag>
            <w:r w:rsidRPr="00F764C0">
              <w:rPr>
                <w:rFonts w:cs="Arial"/>
                <w:sz w:val="22"/>
                <w:szCs w:val="22"/>
              </w:rPr>
              <w:t xml:space="preserve"> weit, bis er auf dem Boden aufkommt und noch etwas weiter rollt.</w:t>
            </w:r>
          </w:p>
          <w:p w:rsidR="00F764C0" w:rsidRPr="00F764C0" w:rsidRDefault="00F764C0" w:rsidP="00F764C0">
            <w:pPr>
              <w:pStyle w:val="Listenabsatz"/>
              <w:spacing w:before="60"/>
              <w:ind w:left="697"/>
              <w:rPr>
                <w:rFonts w:cs="Arial"/>
                <w:sz w:val="22"/>
                <w:szCs w:val="22"/>
              </w:rPr>
            </w:pPr>
          </w:p>
        </w:tc>
      </w:tr>
    </w:tbl>
    <w:p w:rsidR="00694A63" w:rsidRPr="00F764C0" w:rsidRDefault="00694A63" w:rsidP="00F764C0">
      <w:pPr>
        <w:spacing w:before="60"/>
        <w:rPr>
          <w:rFonts w:ascii="Arial" w:hAnsi="Arial" w:cs="Arial"/>
          <w:sz w:val="22"/>
          <w:szCs w:val="22"/>
        </w:rPr>
      </w:pPr>
      <w:bookmarkStart w:id="0" w:name="_GoBack"/>
      <w:bookmarkEnd w:id="0"/>
    </w:p>
    <w:sectPr w:rsidR="00694A63" w:rsidRPr="00F764C0" w:rsidSect="00DB65DC">
      <w:headerReference w:type="even" r:id="rId11"/>
      <w:headerReference w:type="default" r:id="rId12"/>
      <w:footerReference w:type="even" r:id="rId13"/>
      <w:footerReference w:type="default" r:id="rId14"/>
      <w:headerReference w:type="first" r:id="rId15"/>
      <w:footerReference w:type="first" r:id="rId16"/>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FCFDBCAE-C12D-4855-BAA2-4E30AB3ED27F}"/>
    <w:embedBold r:id="rId2" w:fontKey="{CD6EDCF9-323A-4AAD-9601-C26E3A3045A0}"/>
    <w:embedBoldItalic r:id="rId3" w:fontKey="{0714DD6E-8E02-48FE-9750-69CC95337A6E}"/>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2"/>
  </w:num>
  <w:num w:numId="3">
    <w:abstractNumId w:val="0"/>
  </w:num>
  <w:num w:numId="4">
    <w:abstractNumId w:val="9"/>
  </w:num>
  <w:num w:numId="5">
    <w:abstractNumId w:val="5"/>
  </w:num>
  <w:num w:numId="6">
    <w:abstractNumId w:val="7"/>
  </w:num>
  <w:num w:numId="7">
    <w:abstractNumId w:val="3"/>
  </w:num>
  <w:num w:numId="8">
    <w:abstractNumId w:val="1"/>
  </w:num>
  <w:num w:numId="9">
    <w:abstractNumId w:val="4"/>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819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1921"/>
    <o:shapelayout v:ext="edit">
      <o:idmap v:ext="edit" data="1"/>
    </o:shapelayout>
  </w:shapeDefaults>
  <w:decimalSymbol w:val=","/>
  <w:listSeparator w:val=";"/>
  <w14:docId w14:val="557E39A6"/>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77A296-4ADB-4BAF-B392-FA9E12C314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665</Words>
  <Characters>4249</Characters>
  <Application>Microsoft Office Word</Application>
  <DocSecurity>0</DocSecurity>
  <Lines>223</Lines>
  <Paragraphs>245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2025-06-03T14:19:00Z</dcterms:created>
  <dcterms:modified xsi:type="dcterms:W3CDTF">2025-06-03T14:19:00Z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